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6AD53838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7B6E78">
        <w:rPr>
          <w:b/>
          <w:sz w:val="28"/>
          <w:szCs w:val="28"/>
        </w:rPr>
        <w:t>2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7B6E78">
        <w:rPr>
          <w:b/>
          <w:sz w:val="28"/>
          <w:szCs w:val="28"/>
        </w:rPr>
        <w:t>dois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</w:t>
      </w:r>
      <w:r w:rsidR="00DD507E" w:rsidRPr="00DD507E">
        <w:rPr>
          <w:b/>
          <w:sz w:val="28"/>
          <w:szCs w:val="28"/>
        </w:rPr>
        <w:t>es</w:t>
      </w:r>
      <w:r w:rsidR="009E7AFA" w:rsidRPr="00DD507E">
        <w:rPr>
          <w:b/>
          <w:sz w:val="28"/>
          <w:szCs w:val="28"/>
        </w:rPr>
        <w:t xml:space="preserve">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 Escola Municipal Antônio Roquim,</w:t>
      </w:r>
      <w:r w:rsidRPr="00DD507E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DD507E" w:rsidRPr="00DD507E">
        <w:rPr>
          <w:bCs/>
          <w:sz w:val="28"/>
          <w:szCs w:val="28"/>
        </w:rPr>
        <w:t>às</w:t>
      </w:r>
      <w:r w:rsidR="00570EE6" w:rsidRPr="00DD507E">
        <w:rPr>
          <w:bCs/>
          <w:sz w:val="28"/>
          <w:szCs w:val="28"/>
        </w:rPr>
        <w:t xml:space="preserve"> desistência</w:t>
      </w:r>
      <w:r w:rsidR="00DD507E" w:rsidRPr="00DD507E">
        <w:rPr>
          <w:bCs/>
          <w:sz w:val="28"/>
          <w:szCs w:val="28"/>
        </w:rPr>
        <w:t>s</w:t>
      </w:r>
      <w:r w:rsidR="00570EE6" w:rsidRPr="00DD507E">
        <w:rPr>
          <w:bCs/>
          <w:sz w:val="28"/>
          <w:szCs w:val="28"/>
        </w:rPr>
        <w:t xml:space="preserve"> de </w:t>
      </w:r>
      <w:r w:rsidR="00DD507E" w:rsidRPr="00DD507E">
        <w:rPr>
          <w:bCs/>
          <w:sz w:val="28"/>
          <w:szCs w:val="28"/>
        </w:rPr>
        <w:t>Rosilda Aparecida Moreira Londoño</w:t>
      </w:r>
      <w:r w:rsidR="002C0720">
        <w:rPr>
          <w:bCs/>
          <w:sz w:val="28"/>
          <w:szCs w:val="28"/>
        </w:rPr>
        <w:t xml:space="preserve"> e</w:t>
      </w:r>
      <w:r w:rsidR="00DD507E" w:rsidRPr="00DD507E">
        <w:rPr>
          <w:bCs/>
          <w:sz w:val="28"/>
          <w:szCs w:val="28"/>
        </w:rPr>
        <w:t xml:space="preserve"> </w:t>
      </w:r>
      <w:r w:rsidR="006134E2">
        <w:rPr>
          <w:bCs/>
          <w:sz w:val="28"/>
          <w:szCs w:val="28"/>
        </w:rPr>
        <w:t>Marcelo Maximiliano da Mata</w:t>
      </w:r>
      <w:r w:rsidR="002C0720">
        <w:rPr>
          <w:bCs/>
          <w:sz w:val="28"/>
          <w:szCs w:val="28"/>
        </w:rPr>
        <w:t>.</w:t>
      </w:r>
    </w:p>
    <w:p w14:paraId="366F8A29" w14:textId="4E24BD21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4E973C72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9610B9">
        <w:rPr>
          <w:b/>
          <w:sz w:val="28"/>
          <w:szCs w:val="28"/>
        </w:rPr>
        <w:t>01</w:t>
      </w:r>
      <w:r w:rsidR="002E641A">
        <w:rPr>
          <w:b/>
          <w:sz w:val="28"/>
          <w:szCs w:val="28"/>
        </w:rPr>
        <w:t>.0</w:t>
      </w:r>
      <w:r w:rsidR="009610B9">
        <w:rPr>
          <w:b/>
          <w:sz w:val="28"/>
          <w:szCs w:val="28"/>
        </w:rPr>
        <w:t>4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6AC7590A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A11C6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2857A59C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1D07D5">
        <w:rPr>
          <w:b/>
          <w:sz w:val="28"/>
          <w:szCs w:val="28"/>
        </w:rPr>
        <w:t>7</w:t>
      </w:r>
      <w:r w:rsidR="00A11C69">
        <w:rPr>
          <w:b/>
          <w:sz w:val="28"/>
          <w:szCs w:val="28"/>
        </w:rPr>
        <w:t>h</w:t>
      </w:r>
      <w:r w:rsidR="001D07D5">
        <w:rPr>
          <w:b/>
          <w:sz w:val="28"/>
          <w:szCs w:val="28"/>
        </w:rPr>
        <w:t>30min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0E4BE683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D65B63">
        <w:rPr>
          <w:sz w:val="28"/>
          <w:szCs w:val="28"/>
        </w:rPr>
        <w:t>22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Silmar Francisco dos Santos</w:t>
      </w:r>
    </w:p>
    <w:p w14:paraId="370D478D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9332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5572"/>
    <w:rsid w:val="006134E2"/>
    <w:rsid w:val="006771D0"/>
    <w:rsid w:val="00711419"/>
    <w:rsid w:val="0072121D"/>
    <w:rsid w:val="00722D94"/>
    <w:rsid w:val="00733C46"/>
    <w:rsid w:val="00737829"/>
    <w:rsid w:val="007641F6"/>
    <w:rsid w:val="00770837"/>
    <w:rsid w:val="0079064F"/>
    <w:rsid w:val="007B1361"/>
    <w:rsid w:val="007B6E78"/>
    <w:rsid w:val="007D03AE"/>
    <w:rsid w:val="00822878"/>
    <w:rsid w:val="00825794"/>
    <w:rsid w:val="008278E7"/>
    <w:rsid w:val="00842D23"/>
    <w:rsid w:val="00854B11"/>
    <w:rsid w:val="008E3F92"/>
    <w:rsid w:val="008F083B"/>
    <w:rsid w:val="00902C35"/>
    <w:rsid w:val="00930878"/>
    <w:rsid w:val="009354E2"/>
    <w:rsid w:val="009610B9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65B63"/>
    <w:rsid w:val="00D813C1"/>
    <w:rsid w:val="00D91B72"/>
    <w:rsid w:val="00DD507E"/>
    <w:rsid w:val="00DE58DC"/>
    <w:rsid w:val="00E05659"/>
    <w:rsid w:val="00E13990"/>
    <w:rsid w:val="00E343EF"/>
    <w:rsid w:val="00E43777"/>
    <w:rsid w:val="00E54D3E"/>
    <w:rsid w:val="00E61103"/>
    <w:rsid w:val="00E941D9"/>
    <w:rsid w:val="00EA49C1"/>
    <w:rsid w:val="00EC0447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26</cp:revision>
  <cp:lastPrinted>2023-03-23T16:11:00Z</cp:lastPrinted>
  <dcterms:created xsi:type="dcterms:W3CDTF">2023-02-14T12:09:00Z</dcterms:created>
  <dcterms:modified xsi:type="dcterms:W3CDTF">2023-03-23T16:12:00Z</dcterms:modified>
</cp:coreProperties>
</file>